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LN-0066 · Human Rights</w:t>
      </w:r>
    </w:p>
    <w:p>
      <w:pPr>
        <w:pStyle w:val="Title"/>
      </w:pPr>
      <w:r>
        <w:t xml:space="preserve">Transgender Rights, from NALSA to the 2019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Self-identification recognised by the Court, and a statute criticised for qualifying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Legal Services Authority v. Union of India, (2014) 5 SCC 438</w:t>
      </w:r>
    </w:p>
    <w:p>
      <w:pPr>
        <w:pStyle w:val="Bullet"/>
      </w:pPr>
      <w:r>
        <w:t xml:space="preserve">•  Transgender Persons (Protection of Rights) Act, 2019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https://firstprecedent.org/lineages/transgender-rights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