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LN-0052 · IP</w:t>
      </w:r>
    </w:p>
    <w:p>
      <w:pPr>
        <w:pStyle w:val="Title"/>
      </w:pPr>
      <w:r>
        <w:t xml:space="preserve">Trans-Border Reputation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Protecting foreign marks not used in India, from Whirlpool’s spill-over reputation to Prius and territoriality.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N.R. Dongre v. Whirlpool Corpn., (1996) 5 SCC 714</w:t>
      </w:r>
    </w:p>
    <w:p>
      <w:pPr>
        <w:pStyle w:val="Bullet"/>
      </w:pPr>
      <w:r>
        <w:t xml:space="preserve">•  Milmet Oftho Industries v. Allergan Inc., (2004) 12 SCC 624</w:t>
      </w:r>
    </w:p>
    <w:p>
      <w:pPr>
        <w:pStyle w:val="Bullet"/>
      </w:pPr>
      <w:r>
        <w:t xml:space="preserve">•  Toyota Jidosha Kabushiki Kaisha v. Prius Auto Industries Ltd., (2018)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https://firstprecedent.org/lineages/trans-border-reputation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