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LN-0082 · Legal History</w:t>
      </w:r>
    </w:p>
    <w:p>
      <w:pPr>
        <w:pStyle w:val="Title"/>
      </w:pPr>
      <w:r>
        <w:t xml:space="preserve">The Jury, from Trial to Abolition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jury trial came to the Presidency towns, why it was distrusted, and how it ended.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K.M. Nanavati v. State of Maharashtra, AIR 1962 SC 605</w:t>
      </w:r>
    </w:p>
    <w:p>
      <w:pPr>
        <w:pStyle w:val="Bullet"/>
      </w:pPr>
      <w:r>
        <w:t xml:space="preserve">•  Law Commission of India, Report No. 14 (1958)</w:t>
      </w:r>
    </w:p>
    <w:p>
      <w:pPr>
        <w:pStyle w:val="Bullet"/>
      </w:pPr>
      <w:r>
        <w:t xml:space="preserve">•  Code of Criminal Procedure, 1973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https://firstprecedent.org/lineages/the-jury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