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LN-0024 · Tax</w:t>
      </w:r>
    </w:p>
    <w:p>
      <w:pPr>
        <w:pStyle w:val="Title"/>
      </w:pPr>
      <w:r>
        <w:t xml:space="preserve">Tax Planning, from McDowell to Vodafone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reception of Ramsay in India, the retreat in Azadi Bachao, and the reconciliation attempted in Vodafone.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McDowell &amp; Co. Ltd. v. CTO, (1985) 3 SCC 230</w:t>
      </w:r>
    </w:p>
    <w:p>
      <w:pPr>
        <w:pStyle w:val="Bullet"/>
      </w:pPr>
      <w:r>
        <w:t xml:space="preserve">•  Union of India v. Azadi Bachao Andolan, (2004) 10 SCC 1</w:t>
      </w:r>
    </w:p>
    <w:p>
      <w:pPr>
        <w:pStyle w:val="Bullet"/>
      </w:pPr>
      <w:r>
        <w:t xml:space="preserve">•  Vodafone International Holdings BV v. Union of India, (2012) 6 SCC 613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https://firstprecedent.org/lineages/tax-planning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