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LN-0055 · Tech &amp; Data</w:t>
      </w:r>
    </w:p>
    <w:p>
      <w:pPr>
        <w:pStyle w:val="Title"/>
      </w:pPr>
      <w:r>
        <w:t xml:space="preserve">Interception and Surveillance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Telephone tapping safeguards from 1996, their extension to digital interception, and the questions privacy now raises.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People’s Union for Civil Liberties v. Union of India, (1997) 1 SCC 301</w:t>
      </w:r>
    </w:p>
    <w:p>
      <w:pPr>
        <w:pStyle w:val="Bullet"/>
      </w:pPr>
      <w:r>
        <w:t xml:space="preserve">•  Information Technology Act, 2000, § 69</w:t>
      </w:r>
    </w:p>
    <w:p>
      <w:pPr>
        <w:pStyle w:val="Bullet"/>
      </w:pPr>
      <w:r>
        <w:t xml:space="preserve">•  Manohar Lal Sharma v. Union of India, (2023) 11 SCC 401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https://firstprecedent.org/lineages/surveillance-law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