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Lineage · LN-0012 · Criminal</w:t>
      </w:r>
    </w:p>
    <w:p>
      <w:pPr>
        <w:pStyle w:val="Title"/>
      </w:pPr>
      <w:r>
        <w:t xml:space="preserve">Sedition, from Tilak to the Abeyance Order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first decision</w:t>
      </w:r>
    </w:p>
    <w:p>
      <w:pPr>
        <w:pStyle w:val="Guidance"/>
      </w:pPr>
      <w:r>
        <w:t xml:space="preserve">Where the line of cases begins and what was held.</w:t>
      </w:r>
    </w:p>
    <w:p/>
    <w:p>
      <w:pPr>
        <w:pStyle w:val="Heading1"/>
      </w:pPr>
      <w:r>
        <w:t xml:space="preserve">The turning points</w:t>
      </w:r>
    </w:p>
    <w:p>
      <w:pPr>
        <w:pStyle w:val="Guidance"/>
      </w:pPr>
      <w:r>
        <w:t xml:space="preserve">Each decision that changed the position, in order, and why it did.</w:t>
      </w:r>
    </w:p>
    <w:p/>
    <w:p>
      <w:pPr>
        <w:pStyle w:val="Heading1"/>
      </w:pPr>
      <w:r>
        <w:t xml:space="preserve">The current position</w:t>
      </w:r>
    </w:p>
    <w:p>
      <w:pPr>
        <w:pStyle w:val="Guidance"/>
      </w:pPr>
      <w:r>
        <w:t xml:space="preserve">What the law is now, in the words of the latest decision.</w:t>
      </w:r>
    </w:p>
    <w:p/>
    <w:p>
      <w:pPr>
        <w:pStyle w:val="Heading1"/>
      </w:pPr>
      <w:r>
        <w:t xml:space="preserve">What drove the change</w:t>
      </w:r>
    </w:p>
    <w:p>
      <w:pPr>
        <w:pStyle w:val="Guidance"/>
      </w:pPr>
      <w:r>
        <w:t xml:space="preserve">Your reading of why the courts moved.</w:t>
      </w:r>
    </w:p>
    <w:p/>
    <w:p>
      <w:pPr>
        <w:pStyle w:val="Heading1"/>
      </w:pPr>
      <w:r>
        <w:t xml:space="preserve">What is left open</w:t>
      </w:r>
    </w:p>
    <w:p>
      <w:pPr>
        <w:pStyle w:val="Guidance"/>
      </w:pPr>
      <w:r>
        <w:t xml:space="preserve">Questions the latest decision did not settle.</w:t>
      </w:r>
    </w:p>
    <w:p/>
    <w:p>
      <w:pPr>
        <w:pStyle w:val="Heading1"/>
      </w:pPr>
      <w:r>
        <w:t xml:space="preserve">Notes for the writer (delete before submitting)</w:t>
      </w:r>
    </w:p>
    <w:p>
      <w:pPr>
        <w:pStyle w:val="Guidance"/>
      </w:pPr>
      <w:r>
        <w:t xml:space="preserve">Scope of this entry. Section 124A from the colonial trials through Kedar Nath to its suspension in 2022 and its successor provision.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Queen-Empress v. Bal Gangadhar Tilak, ILR (1898) 22 Bom 112</w:t>
      </w:r>
    </w:p>
    <w:p>
      <w:pPr>
        <w:pStyle w:val="Bullet"/>
      </w:pPr>
      <w:r>
        <w:t xml:space="preserve">•  Niharendu Dutt Majumdar v. King-Emperor, AIR 1942 FC 22</w:t>
      </w:r>
    </w:p>
    <w:p>
      <w:pPr>
        <w:pStyle w:val="Bullet"/>
      </w:pPr>
      <w:r>
        <w:t xml:space="preserve">•  Kedar Nath Singh v. State of Bihar, AIR 1962 SC 955</w:t>
      </w:r>
    </w:p>
    <w:p>
      <w:pPr>
        <w:pStyle w:val="Bullet"/>
      </w:pPr>
      <w:r>
        <w:t xml:space="preserve">•  S.G. Vombatkere v. Union of India, (2022) 7 SCC 433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https://firstprecedent.org/lineages/sedition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