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Lineage · LN-0045 · Securities</w:t>
      </w:r>
    </w:p>
    <w:p>
      <w:pPr>
        <w:pStyle w:val="Title"/>
      </w:pPr>
      <w:r>
        <w:t xml:space="preserve">The Growth of SEBI’s Powers</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first decision</w:t>
      </w:r>
    </w:p>
    <w:p>
      <w:pPr>
        <w:pStyle w:val="Guidance"/>
      </w:pPr>
      <w:r>
        <w:t xml:space="preserve">Where the line of cases begins and what was held.</w:t>
      </w:r>
    </w:p>
    <w:p/>
    <w:p>
      <w:pPr>
        <w:pStyle w:val="Heading1"/>
      </w:pPr>
      <w:r>
        <w:t xml:space="preserve">The turning points</w:t>
      </w:r>
    </w:p>
    <w:p>
      <w:pPr>
        <w:pStyle w:val="Guidance"/>
      </w:pPr>
      <w:r>
        <w:t xml:space="preserve">Each decision that changed the position, in order, and why it did.</w:t>
      </w:r>
    </w:p>
    <w:p/>
    <w:p>
      <w:pPr>
        <w:pStyle w:val="Heading1"/>
      </w:pPr>
      <w:r>
        <w:t xml:space="preserve">The current position</w:t>
      </w:r>
    </w:p>
    <w:p>
      <w:pPr>
        <w:pStyle w:val="Guidance"/>
      </w:pPr>
      <w:r>
        <w:t xml:space="preserve">What the law is now, in the words of the latest decision.</w:t>
      </w:r>
    </w:p>
    <w:p/>
    <w:p>
      <w:pPr>
        <w:pStyle w:val="Heading1"/>
      </w:pPr>
      <w:r>
        <w:t xml:space="preserve">What drove the change</w:t>
      </w:r>
    </w:p>
    <w:p>
      <w:pPr>
        <w:pStyle w:val="Guidance"/>
      </w:pPr>
      <w:r>
        <w:t xml:space="preserve">Your reading of why the courts moved.</w:t>
      </w:r>
    </w:p>
    <w:p/>
    <w:p>
      <w:pPr>
        <w:pStyle w:val="Heading1"/>
      </w:pPr>
      <w:r>
        <w:t xml:space="preserve">What is left open</w:t>
      </w:r>
    </w:p>
    <w:p>
      <w:pPr>
        <w:pStyle w:val="Guidance"/>
      </w:pPr>
      <w:r>
        <w:t xml:space="preserve">Questions the latest decision did not settle.</w:t>
      </w:r>
    </w:p>
    <w:p/>
    <w:p>
      <w:pPr>
        <w:pStyle w:val="Heading1"/>
      </w:pPr>
      <w:r>
        <w:t xml:space="preserve">Notes for the writer (delete before submitting)</w:t>
      </w:r>
    </w:p>
    <w:p>
      <w:pPr>
        <w:pStyle w:val="Guidance"/>
      </w:pPr>
      <w:r>
        <w:t xml:space="preserve">Scope of this entry. From an advisory body to a regulator that can investigate, disgorge and attach, and the Court’s reading of each new power.</w:t>
      </w:r>
    </w:p>
    <w:p>
      <w:pPr>
        <w:pStyle w:val="Guidance"/>
      </w:pPr>
      <w:r>
        <w:t xml:space="preserve">Authorities to start from. These are places to begin, listed by the editors. Read each one in the original and check the citation before you rely on it.</w:t>
      </w:r>
    </w:p>
    <w:p>
      <w:pPr>
        <w:pStyle w:val="Bullet"/>
      </w:pPr>
      <w:r>
        <w:t xml:space="preserve">•  Securities and Exchange Board of India Act, 1992, §§ 11, 11B</w:t>
      </w:r>
    </w:p>
    <w:p>
      <w:pPr>
        <w:pStyle w:val="Bullet"/>
      </w:pPr>
      <w:r>
        <w:t xml:space="preserve">•  Sahara India Real Estate Corpn. Ltd. v. SEBI, (2013) 1 SCC 1</w:t>
      </w:r>
    </w:p>
    <w:p>
      <w:pPr>
        <w:pStyle w:val="Bullet"/>
      </w:pPr>
      <w:r>
        <w:t xml:space="preserve">•  SEBI v. Kishore R. Ajmera, (2016) 6 SCC 368</w:t>
      </w:r>
    </w:p>
    <w:p>
      <w:pPr>
        <w:pStyle w:val="Guidance"/>
      </w:pPr>
      <w:r>
        <w:t xml:space="preserve">Length. At least 3,000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https://firstprecedent.org/lineages/sebi-powers</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