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LN-0039 · Labour</w:t>
      </w:r>
    </w:p>
    <w:p>
      <w:pPr>
        <w:pStyle w:val="Title"/>
      </w:pPr>
      <w:r>
        <w:t xml:space="preserve">The Right to Strike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legitimate weapon of labour to no fundamental, legal or moral right for government employees.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All India Bank Employees’ Assn. v. National Industrial Tribunal, AIR 1962 SC 171</w:t>
      </w:r>
    </w:p>
    <w:p>
      <w:pPr>
        <w:pStyle w:val="Bullet"/>
      </w:pPr>
      <w:r>
        <w:t xml:space="preserve">•  B.R. Singh v. Union of India, (1989) 4 SCC 710</w:t>
      </w:r>
    </w:p>
    <w:p>
      <w:pPr>
        <w:pStyle w:val="Bullet"/>
      </w:pPr>
      <w:r>
        <w:t xml:space="preserve">•  T.K. Rangarajan v. Govt. of T.N., (2003) 6 SCC 581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https://firstprecedent.org/lineages/right-to-strike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