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pStyle w:val="Meta"/>
      </w:pPr>
      <w:r>
        <w:t xml:space="preserve">FPR · Lineage · LN-0028 · Property</w:t>
      </w:r>
    </w:p>
    <w:p>
      <w:pPr>
        <w:pStyle w:val="Title"/>
      </w:pPr>
      <w:r>
        <w:t xml:space="preserve">The Right to Property, from Article 31 to Article 300A</w:t>
      </w:r>
    </w:p>
    <w:p>
      <w:pPr>
        <w:pStyle w:val="Guidance"/>
      </w:pPr>
      <w:r>
        <w:t xml:space="preserve">This is the FPR writer’s kit for this entry. The grey notes tell you what goes where. Delete them, and this paragraph, before you submit.</w:t>
      </w:r>
    </w:p>
    <w:p>
      <w:pPr>
        <w:pStyle w:val="Heading1"/>
      </w:pPr>
      <w:r>
        <w:t xml:space="preserve">Thesis</w:t>
      </w:r>
    </w:p>
    <w:p>
      <w:pPr>
        <w:pStyle w:val="Guidance"/>
      </w:pPr>
      <w:r>
        <w:t xml:space="preserve">One sentence. It is set in large type at the top of your piece. If you cannot put your point in one sentence, the piece is not ready.</w:t>
      </w:r>
    </w:p>
    <w:p/>
    <w:p>
      <w:pPr>
        <w:pStyle w:val="Heading1"/>
      </w:pPr>
      <w:r>
        <w:t xml:space="preserve">Abstract</w:t>
      </w:r>
    </w:p>
    <w:p>
      <w:pPr>
        <w:pStyle w:val="Guidance"/>
      </w:pPr>
      <w:r>
        <w:t xml:space="preserve">About a hundred words: the question, how you went about it, and what you conclude.</w:t>
      </w:r>
    </w:p>
    <w:p/>
    <w:p>
      <w:pPr>
        <w:pStyle w:val="Heading1"/>
      </w:pPr>
      <w:r>
        <w:t xml:space="preserve">The first decision</w:t>
      </w:r>
    </w:p>
    <w:p>
      <w:pPr>
        <w:pStyle w:val="Guidance"/>
      </w:pPr>
      <w:r>
        <w:t xml:space="preserve">Where the line of cases begins and what was held.</w:t>
      </w:r>
    </w:p>
    <w:p/>
    <w:p>
      <w:pPr>
        <w:pStyle w:val="Heading1"/>
      </w:pPr>
      <w:r>
        <w:t xml:space="preserve">The turning points</w:t>
      </w:r>
    </w:p>
    <w:p>
      <w:pPr>
        <w:pStyle w:val="Guidance"/>
      </w:pPr>
      <w:r>
        <w:t xml:space="preserve">Each decision that changed the position, in order, and why it did.</w:t>
      </w:r>
    </w:p>
    <w:p/>
    <w:p>
      <w:pPr>
        <w:pStyle w:val="Heading1"/>
      </w:pPr>
      <w:r>
        <w:t xml:space="preserve">The current position</w:t>
      </w:r>
    </w:p>
    <w:p>
      <w:pPr>
        <w:pStyle w:val="Guidance"/>
      </w:pPr>
      <w:r>
        <w:t xml:space="preserve">What the law is now, in the words of the latest decision.</w:t>
      </w:r>
    </w:p>
    <w:p/>
    <w:p>
      <w:pPr>
        <w:pStyle w:val="Heading1"/>
      </w:pPr>
      <w:r>
        <w:t xml:space="preserve">What drove the change</w:t>
      </w:r>
    </w:p>
    <w:p>
      <w:pPr>
        <w:pStyle w:val="Guidance"/>
      </w:pPr>
      <w:r>
        <w:t xml:space="preserve">Your reading of why the courts moved.</w:t>
      </w:r>
    </w:p>
    <w:p/>
    <w:p>
      <w:pPr>
        <w:pStyle w:val="Heading1"/>
      </w:pPr>
      <w:r>
        <w:t xml:space="preserve">What is left open</w:t>
      </w:r>
    </w:p>
    <w:p>
      <w:pPr>
        <w:pStyle w:val="Guidance"/>
      </w:pPr>
      <w:r>
        <w:t xml:space="preserve">Questions the latest decision did not settle.</w:t>
      </w:r>
    </w:p>
    <w:p/>
    <w:p>
      <w:pPr>
        <w:pStyle w:val="Heading1"/>
      </w:pPr>
      <w:r>
        <w:t xml:space="preserve">Notes for the writer (delete before submitting)</w:t>
      </w:r>
    </w:p>
    <w:p>
      <w:pPr>
        <w:pStyle w:val="Guidance"/>
      </w:pPr>
      <w:r>
        <w:t xml:space="preserve">Scope of this entry. The most amended right: compensation battles, removal from Part III, and its quiet return as a constitutional and human right.</w:t>
      </w:r>
    </w:p>
    <w:p>
      <w:pPr>
        <w:pStyle w:val="Guidance"/>
      </w:pPr>
      <w:r>
        <w:t xml:space="preserve">Authorities to start from. These are places to begin, listed by the editors. Read each one in the original and check the citation before you rely on it.</w:t>
      </w:r>
    </w:p>
    <w:p>
      <w:pPr>
        <w:pStyle w:val="Bullet"/>
      </w:pPr>
      <w:r>
        <w:t xml:space="preserve">•  State of West Bengal v. Bela Banerjee, AIR 1954 SC 170</w:t>
      </w:r>
    </w:p>
    <w:p>
      <w:pPr>
        <w:pStyle w:val="Bullet"/>
      </w:pPr>
      <w:r>
        <w:t xml:space="preserve">•  R.C. Cooper v. Union of India, (1970) 1 SCC 248</w:t>
      </w:r>
    </w:p>
    <w:p>
      <w:pPr>
        <w:pStyle w:val="Bullet"/>
      </w:pPr>
      <w:r>
        <w:t xml:space="preserve">•  K.T. Plantation (P) Ltd. v. State of Karnataka, (2011) 9 SCC 1</w:t>
      </w:r>
    </w:p>
    <w:p>
      <w:pPr>
        <w:pStyle w:val="Bullet"/>
      </w:pPr>
      <w:r>
        <w:t xml:space="preserve">•  Vidya Devi v. State of H.P., (2020) 2 SCC 569</w:t>
      </w:r>
    </w:p>
    <w:p>
      <w:pPr>
        <w:pStyle w:val="Guidance"/>
      </w:pPr>
      <w:r>
        <w:t xml:space="preserve">Length. At least 3,000 words, not counting footnotes.</w:t>
      </w:r>
    </w:p>
    <w:p>
      <w:pPr>
        <w:pStyle w:val="Guidance"/>
      </w:pPr>
      <w:r>
        <w:t xml:space="preserve">Citations. Bluebook, each one in a footnote (References, Insert Footnote). Cite the judgment or the statute itself, with a pinpoint, not a commentary on it.</w:t>
      </w:r>
    </w:p>
    <w:p>
      <w:pPr>
        <w:pStyle w:val="Guidance"/>
      </w:pPr>
      <w:r>
        <w:t xml:space="preserve">Your own prose. You may use AI tools to find and search sources. The writing must be yours, and you will be asked how you used any tool when you submit.</w:t>
      </w:r>
    </w:p>
    <w:p>
      <w:pPr>
        <w:pStyle w:val="Guidance"/>
      </w:pPr>
      <w:r>
        <w:t xml:space="preserve">Submit at https://firstprecedent.org/submit after claiming the entry at https://firstprecedent.org/lineages/right-to-property</w:t>
      </w:r>
    </w:p>
    <w:sectPr>
      <w:pgSz w:w="11906" w:h="16838"/>
      <w:pgMar w:top="1440" w:right="1440" w:bottom="1440" w:left="1440" w:header="708" w:footer="708" w:gutter="0"/>
    </w:sectPr>
  </w:body>
</w:document>
</file>

<file path=word/styles.xml><?xml version="1.0" encoding="utf-8"?>
<w:styles xmlns:w="http://schemas.openxmlformats.org/wordprocessingml/2006/main">
  <w:docDefaults>
    <w:rPrDefault>
      <w:rPr>
        <w:rFonts w:ascii="Times New Roman" w:hAnsi="Times New Roman" w:cs="Times New Roman"/>
        <w:sz w:val="24"/>
        <w:lang w:val="en-IN"/>
      </w:rPr>
    </w:rPrDefault>
    <w:pPrDefault>
      <w:pPr>
        <w:spacing w:after="160" w:line="360" w:lineRule="auto"/>
      </w:pPr>
    </w:pPrDefault>
  </w:docDefaults>
  <w:style w:type="paragraph" w:default="1" w:styleId="Normal">
    <w:name w:val="Normal"/>
  </w:style>
  <w:style w:type="paragraph" w:styleId="Title">
    <w:name w:val="Title"/>
    <w:basedOn w:val="Normal"/>
    <w:next w:val="Normal"/>
    <w:pPr>
      <w:spacing w:after="120" w:line="240" w:lineRule="auto"/>
    </w:pPr>
    <w:rPr>
      <w:sz w:val="52"/>
    </w:rPr>
  </w:style>
  <w:style w:type="paragraph" w:styleId="Heading1">
    <w:name w:val="heading 1"/>
    <w:basedOn w:val="Normal"/>
    <w:next w:val="Normal"/>
    <w:pPr>
      <w:keepNext/>
      <w:spacing w:before="360" w:after="120" w:line="240" w:lineRule="auto"/>
      <w:outlineLvl w:val="0"/>
    </w:pPr>
    <w:rPr>
      <w:b/>
      <w:sz w:val="28"/>
    </w:rPr>
  </w:style>
  <w:style w:type="paragraph" w:styleId="Meta">
    <w:name w:val="Meta"/>
    <w:basedOn w:val="Normal"/>
    <w:pPr>
      <w:spacing w:after="80" w:line="240" w:lineRule="auto"/>
    </w:pPr>
    <w:rPr>
      <w:rFonts w:ascii="Courier New" w:hAnsi="Courier New" w:cs="Courier New"/>
      <w:sz w:val="18"/>
    </w:rPr>
  </w:style>
  <w:style w:type="paragraph" w:styleId="Guidance">
    <w:name w:val="Guidance"/>
    <w:basedOn w:val="Normal"/>
    <w:pPr>
      <w:spacing w:after="120" w:line="276" w:lineRule="auto"/>
    </w:pPr>
    <w:rPr>
      <w:i/>
      <w:color w:val="7A7A7A"/>
      <w:sz w:val="22"/>
    </w:rPr>
  </w:style>
  <w:style w:type="paragraph" w:styleId="Bullet">
    <w:name w:val="Bullet"/>
    <w:basedOn w:val="Normal"/>
    <w:pPr>
      <w:spacing w:after="60" w:line="276" w:lineRule="auto"/>
      <w:ind w:left="360" w:hanging="360"/>
    </w:pPr>
    <w:rPr>
      <w:sz w:val="22"/>
    </w:rPr>
  </w:style>
</w:styles>
</file>

<file path=word/_rels/document.xml.rels><?xml version="1.0" encoding="UTF-8" standalone="yes"?>
<Relationships xmlns="http://schemas.openxmlformats.org/package/2006/relationships"><Relationship Id="rId1" Type="http://schemas.openxmlformats.org/officeDocument/2006/relationships/styles" Target="styles.xml"/></Relationships>
</file>