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LN-0068 · Human Rights</w:t>
      </w:r>
    </w:p>
    <w:p>
      <w:pPr>
        <w:pStyle w:val="Title"/>
      </w:pPr>
      <w:r>
        <w:t xml:space="preserve">The Right to Food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Interim orders in one writ petition that turned welfare schemes into entitlements and led to a statute.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People’s Union for Civil Liberties v. Union of India, (2001) 5 SCALE 303</w:t>
      </w:r>
    </w:p>
    <w:p>
      <w:pPr>
        <w:pStyle w:val="Bullet"/>
      </w:pPr>
      <w:r>
        <w:t xml:space="preserve">•  National Food Security Act, 2013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https://firstprecedent.org/lineages/right-to-food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