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LN-0033 · Family</w:t>
      </w:r>
    </w:p>
    <w:p>
      <w:pPr>
        <w:pStyle w:val="Title"/>
      </w:pPr>
      <w:r>
        <w:t xml:space="preserve">Restitution of Conjugal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Struck down in Andhra Pradesh, upheld in Delhi and then by the Supreme Court, and challenged again after the privacy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T. Sareetha v. T. Venkata Subbaiah, AIR 1983 AP 356</w:t>
      </w:r>
    </w:p>
    <w:p>
      <w:pPr>
        <w:pStyle w:val="Bullet"/>
      </w:pPr>
      <w:r>
        <w:t xml:space="preserve">•  Harvinder Kaur v. Harmander Singh Choudhry, AIR 1984 Del 66</w:t>
      </w:r>
    </w:p>
    <w:p>
      <w:pPr>
        <w:pStyle w:val="Bullet"/>
      </w:pPr>
      <w:r>
        <w:t xml:space="preserve">•  Saroj Rani v. Sudarshan Kumar Chadha, (1984) 4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https://firstprecedent.org/lineages/restitution-of-conjugal-rights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