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LN-0007 · Constitutional</w:t>
      </w:r>
    </w:p>
    <w:p>
      <w:pPr>
        <w:pStyle w:val="Title"/>
      </w:pPr>
      <w:r>
        <w:t xml:space="preserve">Reservation in Promotion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A dialogue between Court and Parliament: Indra Sawhney, three amendments, Nagaraj and its partial correction.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Indra Sawhney v. Union of India, 1992 Supp (3) SCC 217</w:t>
      </w:r>
    </w:p>
    <w:p>
      <w:pPr>
        <w:pStyle w:val="Bullet"/>
      </w:pPr>
      <w:r>
        <w:t xml:space="preserve">•  M. Nagaraj v. Union of India, (2006) 8 SCC 212</w:t>
      </w:r>
    </w:p>
    <w:p>
      <w:pPr>
        <w:pStyle w:val="Bullet"/>
      </w:pPr>
      <w:r>
        <w:t xml:space="preserve">•  Jarnail Singh v. Lachhmi Narain Gupta, (2018) 10 SCC 396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https://firstprecedent.org/lineages/reservation-in-promotion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