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LN-0006 · Constitutional</w:t>
      </w:r>
    </w:p>
    <w:p>
      <w:pPr>
        <w:pStyle w:val="Title"/>
      </w:pPr>
      <w:r>
        <w:t xml:space="preserve">The Fifty Per Cent Ceiling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The cap on reservations from Balaji through Indra Sawhney to the economically weaker sections case.</w:t>
      </w:r>
    </w:p>
    <w:p>
      <w:pPr>
        <w:pStyle w:val="Guidance"/>
      </w:pPr>
      <w:r>
        <w:t xml:space="preserve">Authorities to start from. These are places to begin, listed by the editors. Read each one in the original and check the citation before you rely on it.</w:t>
      </w:r>
    </w:p>
    <w:p>
      <w:pPr>
        <w:pStyle w:val="Bullet"/>
      </w:pPr>
      <w:r>
        <w:t xml:space="preserve">•  M.R. Balaji v. State of Mysore, AIR 1963 SC 649</w:t>
      </w:r>
    </w:p>
    <w:p>
      <w:pPr>
        <w:pStyle w:val="Bullet"/>
      </w:pPr>
      <w:r>
        <w:t xml:space="preserve">•  Indra Sawhney v. Union of India, 1992 Supp (3) SCC 217</w:t>
      </w:r>
    </w:p>
    <w:p>
      <w:pPr>
        <w:pStyle w:val="Bullet"/>
      </w:pPr>
      <w:r>
        <w:t xml:space="preserve">•  Janhit Abhiyan v. Union of India, (2023) 5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https://firstprecedent.org/lineages/reservation-ceiling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