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LN-0022 · Arbitration</w:t>
      </w:r>
    </w:p>
    <w:p>
      <w:pPr>
        <w:pStyle w:val="Title"/>
      </w:pPr>
      <w:r>
        <w:t xml:space="preserve">Public Policy, from Renusagar to Ssangyong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expansion of public policy as a ground of challenge to awards and its legislative and judicial rollback.</w:t>
      </w:r>
    </w:p>
    <w:p>
      <w:pPr>
        <w:pStyle w:val="Guidance"/>
      </w:pPr>
      <w:r>
        <w:t xml:space="preserve">Authorities to start from. These are places to begin, listed by the editors. Read each one in the original and check the citation before you rely on it.</w:t>
      </w:r>
    </w:p>
    <w:p>
      <w:pPr>
        <w:pStyle w:val="Bullet"/>
      </w:pPr>
      <w:r>
        <w:t xml:space="preserve">•  Renusagar Power Co. Ltd. v. General Electric Co., 1994 Supp (1) SCC 644</w:t>
      </w:r>
    </w:p>
    <w:p>
      <w:pPr>
        <w:pStyle w:val="Bullet"/>
      </w:pPr>
      <w:r>
        <w:t xml:space="preserve">•  ONGC Ltd. v. Saw Pipes Ltd., (2003) 5 SCC 705</w:t>
      </w:r>
    </w:p>
    <w:p>
      <w:pPr>
        <w:pStyle w:val="Bullet"/>
      </w:pPr>
      <w:r>
        <w:t xml:space="preserve">•  ONGC Ltd. v. Western Geco International Ltd., (2014) 9 SCC 263</w:t>
      </w:r>
    </w:p>
    <w:p>
      <w:pPr>
        <w:pStyle w:val="Bullet"/>
      </w:pPr>
      <w:r>
        <w:t xml:space="preserve">•  Ssangyong Engineering &amp; Construction Co. Ltd. v. NHAI, (2019) 15 SCC 131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https://firstprecedent.org/lineages/public-policy-in-arbitration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