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LN-0072 · Constitutional</w:t>
      </w:r>
    </w:p>
    <w:p>
      <w:pPr>
        <w:pStyle w:val="Title"/>
      </w:pPr>
      <w:r>
        <w:t xml:space="preserve">Public Interest Litigation, from Hussainara to S.P. Gupta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How the Court relaxed standing and procedure between 1979 and 1982 so that others could sue for those who could not.</w:t>
      </w:r>
    </w:p>
    <w:p>
      <w:pPr>
        <w:pStyle w:val="Guidance"/>
      </w:pPr>
      <w:r>
        <w:t xml:space="preserve">Authorities to start from. These are places to begin, listed by the editors. Read each one in the original and check the citation before you rely on it.</w:t>
      </w:r>
    </w:p>
    <w:p>
      <w:pPr>
        <w:pStyle w:val="Bullet"/>
      </w:pPr>
      <w:r>
        <w:t xml:space="preserve">•  Hussainara Khatoon v. State of Bihar, (1980) 1 SCC 81</w:t>
      </w:r>
    </w:p>
    <w:p>
      <w:pPr>
        <w:pStyle w:val="Bullet"/>
      </w:pPr>
      <w:r>
        <w:t xml:space="preserve">•  S.P. Gupta v. Union of India, 1981 Supp SCC 87</w:t>
      </w:r>
    </w:p>
    <w:p>
      <w:pPr>
        <w:pStyle w:val="Bullet"/>
      </w:pPr>
      <w:r>
        <w:t xml:space="preserve">•  Bandhua Mukti Morcha v. Union of India, (1984) 3 SCC 161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https://firstprecedent.org/lineages/public-interest-litigation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