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LN-0003 · Constitutional</w:t>
      </w:r>
    </w:p>
    <w:p>
      <w:pPr>
        <w:pStyle w:val="Title"/>
      </w:pPr>
      <w:r>
        <w:t xml:space="preserve">Privacy, from M.P. Sharma to Puttaswamy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Sixty-three years from the denial of a privacy right to its unanimous recognition, and the smaller-bench cases in between.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M.P. Sharma v. Satish Chandra, AIR 1954 SC 300</w:t>
      </w:r>
    </w:p>
    <w:p>
      <w:pPr>
        <w:pStyle w:val="Bullet"/>
      </w:pPr>
      <w:r>
        <w:t xml:space="preserve">•  Kharak Singh v. State of U.P., AIR 1963 SC 1295</w:t>
      </w:r>
    </w:p>
    <w:p>
      <w:pPr>
        <w:pStyle w:val="Bullet"/>
      </w:pPr>
      <w:r>
        <w:t xml:space="preserve">•  Gobind v. State of M.P., (1975) 2 SCC 148</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https://firstprecedent.org/lineages/privacy-from-mp-sharma-to-puttaswamy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