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LN-0050 · IP</w:t>
      </w:r>
    </w:p>
    <w:p>
      <w:pPr>
        <w:pStyle w:val="Title"/>
      </w:pPr>
      <w:r>
        <w:t xml:space="preserve">Pharmaceutical Patents, from 1970 to Novartis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Process patents only, the TRIPS transition, product patents with section 3(d), and the first test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(as enacted), § 5</w:t>
      </w:r>
    </w:p>
    <w:p>
      <w:pPr>
        <w:pStyle w:val="Bullet"/>
      </w:pPr>
      <w:r>
        <w:t xml:space="preserve">•  Patents (Amendment) Act, 2005</w:t>
      </w:r>
    </w:p>
    <w:p>
      <w:pPr>
        <w:pStyle w:val="Bullet"/>
      </w:pPr>
      <w:r>
        <w:t xml:space="preserve">•  Novartis AG v. Union of India, (2013)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https://firstprecedent.org/lineages/pharmaceutical-patents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