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LN-0009 · Constitutional</w:t>
      </w:r>
    </w:p>
    <w:p>
      <w:pPr>
        <w:pStyle w:val="Title"/>
      </w:pPr>
      <w:r>
        <w:t xml:space="preserve">The Ordinance Power and Re-promulgation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control of ordinances: satisfaction, re-promulgation as a fraud on the Constitution, and the laying requirement.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D.C. Wadhwa v. State of Bihar, (1987) 1 SCC 378</w:t>
      </w:r>
    </w:p>
    <w:p>
      <w:pPr>
        <w:pStyle w:val="Bullet"/>
      </w:pPr>
      <w:r>
        <w:t xml:space="preserve">•  Krishna Kumar Singh v. State of Bihar, (2017) 3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https://firstprecedent.org/lineages/ordinance-power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