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LN-0058 · Media</w:t>
      </w:r>
    </w:p>
    <w:p>
      <w:pPr>
        <w:pStyle w:val="Title"/>
      </w:pPr>
      <w:r>
        <w:t xml:space="preserve">Obscenity, from Hicklin to Community Standards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Victorian test adopted in 1964 and the contemporary standards test that replaced it fifty years later.</w:t>
      </w:r>
    </w:p>
    <w:p>
      <w:pPr>
        <w:pStyle w:val="Guidance"/>
      </w:pPr>
      <w:r>
        <w:t xml:space="preserve">Authorities to start from. These are places to begin, listed by the editors. Read each one in the original and check the citation before you rely on it.</w:t>
      </w:r>
    </w:p>
    <w:p>
      <w:pPr>
        <w:pStyle w:val="Bullet"/>
      </w:pPr>
      <w:r>
        <w:t xml:space="preserve">•  Ranjit D. Udeshi v. State of Maharashtra, AIR 1965 SC 881</w:t>
      </w:r>
    </w:p>
    <w:p>
      <w:pPr>
        <w:pStyle w:val="Bullet"/>
      </w:pPr>
      <w:r>
        <w:t xml:space="preserve">•  Samaresh Bose v. Amal Mitra, (1985) 4 SCC 289</w:t>
      </w:r>
    </w:p>
    <w:p>
      <w:pPr>
        <w:pStyle w:val="Bullet"/>
      </w:pPr>
      <w:r>
        <w:t xml:space="preserve">•  Aveek Sarkar v. State of W.B., (2014) 4 SCC 257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https://firstprecedent.org/lineages/obscenity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