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LN-0043 · Competition</w:t>
      </w:r>
    </w:p>
    <w:p>
      <w:pPr>
        <w:pStyle w:val="Title"/>
      </w:pPr>
      <w:r>
        <w:t xml:space="preserve">From the MRTP Act to the Competition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 law against size became a law against harm to competition, and what was lost and gained in the change.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Monopolies and Restrictive Trade Practices Act, 1969</w:t>
      </w:r>
    </w:p>
    <w:p>
      <w:pPr>
        <w:pStyle w:val="Bullet"/>
      </w:pPr>
      <w:r>
        <w:t xml:space="preserve">•  Report of the High Level Committee on Competition Policy and Law (2000)</w:t>
      </w:r>
    </w:p>
    <w:p>
      <w:pPr>
        <w:pStyle w:val="Bullet"/>
      </w:pPr>
      <w:r>
        <w:t xml:space="preserve">•  Competition Act, 2002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https://firstprecedent.org/lineages/mrtp-to-competition-act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