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LN-0077 · Tort</w:t>
      </w:r>
    </w:p>
    <w:p>
      <w:pPr>
        <w:pStyle w:val="Title"/>
      </w:pPr>
      <w:r>
        <w:t xml:space="preserve">Motor Accident Compensation, from Sarla Verma to Pranay Sethi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Court standardised the multiplier, deductions and future prospects in death and injury claims.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Sarla Verma v. Delhi Transport Corporation, (2009) 6 SCC 121</w:t>
      </w:r>
    </w:p>
    <w:p>
      <w:pPr>
        <w:pStyle w:val="Bullet"/>
      </w:pPr>
      <w:r>
        <w:t xml:space="preserve">•  National Insurance Co. Ltd. v. Pranay Sethi, (2017) 16 SCC 680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https://firstprecedent.org/lineages/motor-accident-compensation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