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LN-0032 · Family</w:t>
      </w:r>
    </w:p>
    <w:p>
      <w:pPr>
        <w:pStyle w:val="Title"/>
      </w:pPr>
      <w:r>
        <w:t xml:space="preserve">Live-in Relationships in the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presumption of marriage to protection under the domestic violence law for relationships "in the nature of marriage".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S. Khushboo v. Kanniammal, (2010) 5 SCC 600</w:t>
      </w:r>
    </w:p>
    <w:p>
      <w:pPr>
        <w:pStyle w:val="Bullet"/>
      </w:pPr>
      <w:r>
        <w:t xml:space="preserve">•  D. Velusamy v. D. Patchaiammal, (2010) 10 SCC 469</w:t>
      </w:r>
    </w:p>
    <w:p>
      <w:pPr>
        <w:pStyle w:val="Bullet"/>
      </w:pPr>
      <w:r>
        <w:t xml:space="preserve">•  Indra Sarma v. V.K.V. Sarma, (2013) 15 SCC 755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https://firstprecedent.org/lineages/live-in-relationships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