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LN-0073 · Constitutional</w:t>
      </w:r>
    </w:p>
    <w:p>
      <w:pPr>
        <w:pStyle w:val="Title"/>
      </w:pPr>
      <w:r>
        <w:t xml:space="preserve">Legislative Privilege, from Searchlight to Sita Soren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privileges of legislators against fundamental rights and the criminal law, ending with bribery for a vote.</w:t>
      </w:r>
    </w:p>
    <w:p>
      <w:pPr>
        <w:pStyle w:val="Guidance"/>
      </w:pPr>
      <w:r>
        <w:t xml:space="preserve">Authorities to start from. These are places to begin, listed by the editors. Read each one in the original and check the citation before you rely on it.</w:t>
      </w:r>
    </w:p>
    <w:p>
      <w:pPr>
        <w:pStyle w:val="Bullet"/>
      </w:pPr>
      <w:r>
        <w:t xml:space="preserve">•  M.S.M. Sharma v. Sri Krishna Sinha, AIR 1959 SC 395</w:t>
      </w:r>
    </w:p>
    <w:p>
      <w:pPr>
        <w:pStyle w:val="Bullet"/>
      </w:pPr>
      <w:r>
        <w:t xml:space="preserve">•  P.V. Narasimha Rao v. State (CBI/SPE), (1998) 4 SCC 626</w:t>
      </w:r>
    </w:p>
    <w:p>
      <w:pPr>
        <w:pStyle w:val="Bullet"/>
      </w:pPr>
      <w:r>
        <w:t xml:space="preserve">•  Sita Soren v. Union of India (Supreme Court, Mar. 4,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https://firstprecedent.org/lineages/legislative-privilege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