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LN-0005 · Constitutional</w:t>
      </w:r>
    </w:p>
    <w:p>
      <w:pPr>
        <w:pStyle w:val="Title"/>
      </w:pPr>
      <w:r>
        <w:t xml:space="preserve">The Judges Cases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Who appoints judges: from executive primacy to the collegium, and the striking down of the National Judicial Appointments Commission.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Gupta v. Union of India, 1981 Supp SCC 87</w:t>
      </w:r>
    </w:p>
    <w:p>
      <w:pPr>
        <w:pStyle w:val="Bullet"/>
      </w:pPr>
      <w:r>
        <w:t xml:space="preserve">•  Supreme Court Advocates-on-Record Assn. v. Union of India, (1993) 4 SCC 441</w:t>
      </w:r>
    </w:p>
    <w:p>
      <w:pPr>
        <w:pStyle w:val="Bullet"/>
      </w:pPr>
      <w:r>
        <w:t xml:space="preserve">•  In re Special Reference No. 1 of 1998, (1998) 7 SCC 739</w:t>
      </w:r>
    </w:p>
    <w:p>
      <w:pPr>
        <w:pStyle w:val="Bullet"/>
      </w:pPr>
      <w:r>
        <w:t xml:space="preserve">•  Supreme Court Advocates-on-Record Assn. v. Union of India, (2016)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https://firstprecedent.org/lineages/judges-cases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