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LN-0065 · Private International</w:t>
      </w:r>
    </w:p>
    <w:p>
      <w:pPr>
        <w:pStyle w:val="Title"/>
      </w:pPr>
      <w:r>
        <w:t xml:space="preserve">Children Taken across Borders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summary return on the strength of a foreign order to an inquiry into the child’s welfare.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Surinder Kaur Sandhu v. Harbax Singh Sandhu, (1984) 3 SCC 698</w:t>
      </w:r>
    </w:p>
    <w:p>
      <w:pPr>
        <w:pStyle w:val="Bullet"/>
      </w:pPr>
      <w:r>
        <w:t xml:space="preserve">•  V. Ravi Chandran v. Union of India, (2010) 1 SCC 174</w:t>
      </w:r>
    </w:p>
    <w:p>
      <w:pPr>
        <w:pStyle w:val="Bullet"/>
      </w:pPr>
      <w:r>
        <w:t xml:space="preserve">•  Nithya Anand Raghavan v. State (NCT of Delhi), (2017) 8 SCC 454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https://firstprecedent.org/lineages/international-child-custody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