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LN-0046 · Securities</w:t>
      </w:r>
    </w:p>
    <w:p>
      <w:pPr>
        <w:pStyle w:val="Title"/>
      </w:pPr>
      <w:r>
        <w:t xml:space="preserve">Insider Trading Law, from 1992 to 2015</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Three sets of regulations, the shift from use to possession, and the cases that tested 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(Insider Trading) Regulations, 1992</w:t>
      </w:r>
    </w:p>
    <w:p>
      <w:pPr>
        <w:pStyle w:val="Bullet"/>
      </w:pPr>
      <w:r>
        <w:t xml:space="preserve">•  Rakesh Agrawal v. SEBI, (2004) 49 SCL 351 (SAT)</w:t>
      </w:r>
    </w:p>
    <w:p>
      <w:pPr>
        <w:pStyle w:val="Bullet"/>
      </w:pPr>
      <w:r>
        <w:t xml:space="preserve">•  SEBI (Prohibition of Insider Trading) Regulations, 2015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https://firstprecedent.org/lineages/insider-trading-law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