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LN-0081 · International (Public)</w:t>
      </w:r>
    </w:p>
    <w:p>
      <w:pPr>
        <w:pStyle w:val="Title"/>
      </w:pPr>
      <w:r>
        <w:t xml:space="preserve">India at the International Court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India as applicant and respondent at The Hague, from the Right of Passage case to Jadhav.</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of Passage over Indian Territory (Port. v. India), Judgment, 1960 I.C.J. 6 (Apr. 12)</w:t>
      </w:r>
    </w:p>
    <w:p>
      <w:pPr>
        <w:pStyle w:val="Bullet"/>
      </w:pPr>
      <w:r>
        <w:t xml:space="preserve">•  Jadhav (India v. Pak.), Judgment, 2019 I.C.J. 418 (July 17)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https://firstprecedent.org/lineages/india-at-the-world-court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