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LN-0001 · Constitutional</w:t>
      </w:r>
    </w:p>
    <w:p>
      <w:pPr>
        <w:pStyle w:val="Title"/>
      </w:pPr>
      <w:r>
        <w:t xml:space="preserve">From Gopalan to Maneka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Article 21 moved from any procedure enacted by law to a procedure that is fair, just and reasonable, by way of the bank nationalisation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Gopalan v. State of Madras, AIR 1950 SC 27</w:t>
      </w:r>
    </w:p>
    <w:p>
      <w:pPr>
        <w:pStyle w:val="Bullet"/>
      </w:pPr>
      <w:r>
        <w:t xml:space="preserve">•  R.C. Cooper v. Union of India, (1970) 1 SCC 248</w:t>
      </w:r>
    </w:p>
    <w:p>
      <w:pPr>
        <w:pStyle w:val="Bullet"/>
      </w:pPr>
      <w:r>
        <w:t xml:space="preserve">•  Maneka Gandhi v. Union of India, (1978) 1 SCC 248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https://firstprecedent.org/lineages/gopalan-to-maneka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