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LN-0059 · Environment</w:t>
      </w:r>
    </w:p>
    <w:p>
      <w:pPr>
        <w:pStyle w:val="Title"/>
      </w:pPr>
      <w:r>
        <w:t xml:space="preserve">The Forest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One writ petition from 1995 that became a continuing mandamus governing India’s forests for three decades.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Lafarge Umiam Mining (P) Ltd. v. Union of India, (2011) 7 SCC 338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https://firstprecedent.org/lineages/forest-case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