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Lineage · LN-0056 · Media</w:t>
      </w:r>
    </w:p>
    <w:p>
      <w:pPr>
        <w:pStyle w:val="Title"/>
      </w:pPr>
      <w:r>
        <w:t xml:space="preserve">Film Censorship, from K.A. Abbas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first decision</w:t>
      </w:r>
    </w:p>
    <w:p>
      <w:pPr>
        <w:pStyle w:val="Guidance"/>
      </w:pPr>
      <w:r>
        <w:t xml:space="preserve">Where the line of cases begins and what was held.</w:t>
      </w:r>
    </w:p>
    <w:p/>
    <w:p>
      <w:pPr>
        <w:pStyle w:val="Heading1"/>
      </w:pPr>
      <w:r>
        <w:t xml:space="preserve">The turning points</w:t>
      </w:r>
    </w:p>
    <w:p>
      <w:pPr>
        <w:pStyle w:val="Guidance"/>
      </w:pPr>
      <w:r>
        <w:t xml:space="preserve">Each decision that changed the position, in order, and why it did.</w:t>
      </w:r>
    </w:p>
    <w:p/>
    <w:p>
      <w:pPr>
        <w:pStyle w:val="Heading1"/>
      </w:pPr>
      <w:r>
        <w:t xml:space="preserve">The current position</w:t>
      </w:r>
    </w:p>
    <w:p>
      <w:pPr>
        <w:pStyle w:val="Guidance"/>
      </w:pPr>
      <w:r>
        <w:t xml:space="preserve">What the law is now, in the words of the latest decision.</w:t>
      </w:r>
    </w:p>
    <w:p/>
    <w:p>
      <w:pPr>
        <w:pStyle w:val="Heading1"/>
      </w:pPr>
      <w:r>
        <w:t xml:space="preserve">What drove the change</w:t>
      </w:r>
    </w:p>
    <w:p>
      <w:pPr>
        <w:pStyle w:val="Guidance"/>
      </w:pPr>
      <w:r>
        <w:t xml:space="preserve">Your reading of why the courts moved.</w:t>
      </w:r>
    </w:p>
    <w:p/>
    <w:p>
      <w:pPr>
        <w:pStyle w:val="Heading1"/>
      </w:pPr>
      <w:r>
        <w:t xml:space="preserve">What is left open</w:t>
      </w:r>
    </w:p>
    <w:p>
      <w:pPr>
        <w:pStyle w:val="Guidance"/>
      </w:pPr>
      <w:r>
        <w:t xml:space="preserve">Questions the latest decision did not settle.</w:t>
      </w:r>
    </w:p>
    <w:p/>
    <w:p>
      <w:pPr>
        <w:pStyle w:val="Heading1"/>
      </w:pPr>
      <w:r>
        <w:t xml:space="preserve">Notes for the writer (delete before submitting)</w:t>
      </w:r>
    </w:p>
    <w:p>
      <w:pPr>
        <w:pStyle w:val="Guidance"/>
      </w:pPr>
      <w:r>
        <w:t xml:space="preserve">Scope of this entry. Pre-censorship upheld, the standards a certifying board may apply, and the Court’s resistance to bans after certification.</w:t>
      </w:r>
    </w:p>
    <w:p>
      <w:pPr>
        <w:pStyle w:val="Guidance"/>
      </w:pPr>
      <w:r>
        <w:t xml:space="preserve">Authorities to start from. These are places to begin, listed by the editors. Read each one in the original and check the citation before you rely on it.</w:t>
      </w:r>
    </w:p>
    <w:p>
      <w:pPr>
        <w:pStyle w:val="Bullet"/>
      </w:pPr>
      <w:r>
        <w:t xml:space="preserve">•  K.A. Abbas v. Union of India, (1970) 2 SCC 780</w:t>
      </w:r>
    </w:p>
    <w:p>
      <w:pPr>
        <w:pStyle w:val="Bullet"/>
      </w:pPr>
      <w:r>
        <w:t xml:space="preserve">•  S. Rangarajan v. P. Jagjivan Ram, (1989) 2 SCC 574</w:t>
      </w:r>
    </w:p>
    <w:p>
      <w:pPr>
        <w:pStyle w:val="Bullet"/>
      </w:pPr>
      <w:r>
        <w:t xml:space="preserve">•  Prakash Jha Productions v. Union of India, (2011) 8 SCC 372</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https://firstprecedent.org/lineages/film-censorship</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