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LN-0018 · Human Rights</w:t>
      </w:r>
    </w:p>
    <w:p>
      <w:pPr>
        <w:pStyle w:val="Title"/>
      </w:pPr>
      <w:r>
        <w:t xml:space="preserve">The Right to Die, from Gian Kaur to Common Cause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no right to die, through passive euthanasia by court permission, to advance directives.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Gian Kaur v. State of Punjab, (1996) 2 SCC 648</w:t>
      </w:r>
    </w:p>
    <w:p>
      <w:pPr>
        <w:pStyle w:val="Bullet"/>
      </w:pPr>
      <w:r>
        <w:t xml:space="preserve">•  Aruna Ramachandra Shanbaug v. Union of India, (2011) 4 SCC 454</w:t>
      </w:r>
    </w:p>
    <w:p>
      <w:pPr>
        <w:pStyle w:val="Bullet"/>
      </w:pPr>
      <w:r>
        <w:t xml:space="preserve">•  Common Cause v. Union of India, (2018)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https://firstprecedent.org/lineages/euthanasia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