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LN-0029 · Environment</w:t>
      </w:r>
    </w:p>
    <w:p>
      <w:pPr>
        <w:pStyle w:val="Title"/>
      </w:pPr>
      <w:r>
        <w:t xml:space="preserve">A Right to Environment, from Dehradun Quarries to Climate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Reading a right to a healthy environment into Article 21, up to a right against the adverse effects of climate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Rural Litigation &amp; Entitlement Kendra v. State of U.P., (1985) 2 SCC 431</w:t>
      </w:r>
    </w:p>
    <w:p>
      <w:pPr>
        <w:pStyle w:val="Bullet"/>
      </w:pPr>
      <w:r>
        <w:t xml:space="preserve">•  Subhash Kumar v. State of Bihar, (1991) 1 SCC 598</w:t>
      </w:r>
    </w:p>
    <w:p>
      <w:pPr>
        <w:pStyle w:val="Bullet"/>
      </w:pPr>
      <w:r>
        <w:t xml:space="preserve">•  M.K. Ranjitsinh v. Union of India, 2024 SCC OnLine SC 570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https://firstprecedent.org/lineages/environmental-rights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