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LN-0048 · Banking</w:t>
      </w:r>
    </w:p>
    <w:p>
      <w:pPr>
        <w:pStyle w:val="Title"/>
      </w:pPr>
      <w:r>
        <w:t xml:space="preserve">Debt Recovery, from Civil Suits to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Recovery tribunals, securitisation without court intervention, and finally a time-bound insolvency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Delhi High Court Bar Assn., (2002) 4 SCC 275</w:t>
      </w:r>
    </w:p>
    <w:p>
      <w:pPr>
        <w:pStyle w:val="Bullet"/>
      </w:pPr>
      <w:r>
        <w:t xml:space="preserve">•  Mardia Chemicals Ltd. v. Union of India, (2004) 4 SCC 311</w:t>
      </w:r>
    </w:p>
    <w:p>
      <w:pPr>
        <w:pStyle w:val="Bullet"/>
      </w:pPr>
      <w:r>
        <w:t xml:space="preserve">•  Swiss Ribbons (P) Ltd. v. Union of India, (2019) 4 SCC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https://firstprecedent.org/lineages/debt-recovery-law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