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LN-0013 · Criminal</w:t>
      </w:r>
    </w:p>
    <w:p>
      <w:pPr>
        <w:pStyle w:val="Title"/>
      </w:pPr>
      <w:r>
        <w:t xml:space="preserve">The Death Penalty, from Jagmohan to Manoj</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Constitutionality, the rarest of rare formula, and the Court’s repeated attempts to discipline sentencing.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Jagmohan Singh v. State of U.P., (1973) 1 SCC 20</w:t>
      </w:r>
    </w:p>
    <w:p>
      <w:pPr>
        <w:pStyle w:val="Bullet"/>
      </w:pPr>
      <w:r>
        <w:t xml:space="preserve">•  Bachan Singh v. State of Punjab, (1980) 2 SCC 684</w:t>
      </w:r>
    </w:p>
    <w:p>
      <w:pPr>
        <w:pStyle w:val="Bullet"/>
      </w:pPr>
      <w:r>
        <w:t xml:space="preserve">•  Mithu v. State of Punjab, (1983) 2 SCC 277</w:t>
      </w:r>
    </w:p>
    <w:p>
      <w:pPr>
        <w:pStyle w:val="Bullet"/>
      </w:pPr>
      <w:r>
        <w:t xml:space="preserve">•  Manoj v. State of M.P., (2023) 2 SCC 353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https://firstprecedent.org/lineages/death-penalty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