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LN-0079 · Corporate</w:t>
      </w:r>
    </w:p>
    <w:p>
      <w:pPr>
        <w:pStyle w:val="Title"/>
      </w:pPr>
      <w:r>
        <w:t xml:space="preserve">Corporate Criminal Liability, from Velliappa to Iridium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Whether a company can be prosecuted for an offence carrying mandatory imprisonment or requiring a guilty mind.</w:t>
      </w:r>
    </w:p>
    <w:p>
      <w:pPr>
        <w:pStyle w:val="Guidance"/>
      </w:pPr>
      <w:r>
        <w:t xml:space="preserve">Authorities to start from. These are places to begin, listed by the editors. Read each one in the original and check the citation before you rely on it.</w:t>
      </w:r>
    </w:p>
    <w:p>
      <w:pPr>
        <w:pStyle w:val="Bullet"/>
      </w:pPr>
      <w:r>
        <w:t xml:space="preserve">•  Assistant Commissioner v. Velliappa Textiles Ltd., (2003) 11 SCC 405</w:t>
      </w:r>
    </w:p>
    <w:p>
      <w:pPr>
        <w:pStyle w:val="Bullet"/>
      </w:pPr>
      <w:r>
        <w:t xml:space="preserve">•  Standard Chartered Bank v. Directorate of Enforcement, (2005) 4 SCC 530</w:t>
      </w:r>
    </w:p>
    <w:p>
      <w:pPr>
        <w:pStyle w:val="Bullet"/>
      </w:pPr>
      <w:r>
        <w:t xml:space="preserve">•  Iridium India Telecom Ltd. v. Motorola Inc., (2011) 1 SCC 74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https://firstprecedent.org/lineages/corporate-criminal-liability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