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LN-0051 · IP</w:t>
      </w:r>
    </w:p>
    <w:p>
      <w:pPr>
        <w:pStyle w:val="Title"/>
      </w:pPr>
      <w:r>
        <w:t xml:space="preserve">Copyright in Law Reports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Whether editing a judgment creates copyright: the move from labour to a minimum of creativity.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Eastern Book Co. v. D.B. Modak, (2008) 1 SCC 1</w:t>
      </w:r>
    </w:p>
    <w:p>
      <w:pPr>
        <w:pStyle w:val="Bullet"/>
      </w:pPr>
      <w:r>
        <w:t xml:space="preserve">•  Copyright Act, 1957, § 52(1)(q)</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https://firstprecedent.org/lineages/copyright-in-judgments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