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LN-0037 · Labour</w:t>
      </w:r>
    </w:p>
    <w:p>
      <w:pPr>
        <w:pStyle w:val="Title"/>
      </w:pPr>
      <w:r>
        <w:t xml:space="preserve">Absorbing Contract Labour, from Air India to SAIL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Whether abolition of contract labour makes the workers employees of the principal: yes in 1996, no in 2001.</w:t>
      </w:r>
    </w:p>
    <w:p>
      <w:pPr>
        <w:pStyle w:val="Guidance"/>
      </w:pPr>
      <w:r>
        <w:t xml:space="preserve">Authorities to start from. These are places to begin, listed by the editors. Read each one in the original and check the citation before you rely on it.</w:t>
      </w:r>
    </w:p>
    <w:p>
      <w:pPr>
        <w:pStyle w:val="Bullet"/>
      </w:pPr>
      <w:r>
        <w:t xml:space="preserve">•  Air India Statutory Corpn. v. United Labour Union, (1997) 9 SCC 377</w:t>
      </w:r>
    </w:p>
    <w:p>
      <w:pPr>
        <w:pStyle w:val="Bullet"/>
      </w:pPr>
      <w:r>
        <w:t xml:space="preserve">•  Steel Authority of India Ltd. v. National Union Waterfront Workers, (2001) 7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https://firstprecedent.org/lineages/contract-labour-absorption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