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LN-0016 · Human Rights</w:t>
      </w:r>
    </w:p>
    <w:p>
      <w:pPr>
        <w:pStyle w:val="Title"/>
      </w:pPr>
      <w:r>
        <w:t xml:space="preserve">Public Law Compensation, from Rudul Sah to Nilabati Behera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the writ courts began to award money for violations of Article 21 and set aside sovereign immunity.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Rudul Sah v. State of Bihar, (1983) 4 SCC 141</w:t>
      </w:r>
    </w:p>
    <w:p>
      <w:pPr>
        <w:pStyle w:val="Bullet"/>
      </w:pPr>
      <w:r>
        <w:t xml:space="preserve">•  Saheli v. Commr. of Police, (1990) 1 SCC 422</w:t>
      </w:r>
    </w:p>
    <w:p>
      <w:pPr>
        <w:pStyle w:val="Bullet"/>
      </w:pPr>
      <w:r>
        <w:t xml:space="preserve">•  Nilabati Behera v. State of Orissa, (1993) 2 SCC 746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https://firstprecedent.org/lineages/compensation-for-rights-violations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