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LN-0069 · Legal History</w:t>
      </w:r>
    </w:p>
    <w:p>
      <w:pPr>
        <w:pStyle w:val="Title"/>
      </w:pPr>
      <w:r>
        <w:t xml:space="preserve">The Codification of Indian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Law Commissions of the nineteenth century and the codes they produced: penal law, procedure, contract, evidence.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Charter Act, 1833, 3 &amp; 4 Will. 4, c. 85, § 53</w:t>
      </w:r>
    </w:p>
    <w:p>
      <w:pPr>
        <w:pStyle w:val="Bullet"/>
      </w:pPr>
      <w:r>
        <w:t xml:space="preserve">•  Indian Penal Code, 1860</w:t>
      </w:r>
    </w:p>
    <w:p>
      <w:pPr>
        <w:pStyle w:val="Bullet"/>
      </w:pPr>
      <w:r>
        <w:t xml:space="preserve">•  Indian Evidence Act, 1872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https://firstprecedent.org/lineages/codification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