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LN-0049 · Banking</w:t>
      </w:r>
    </w:p>
    <w:p>
      <w:pPr>
        <w:pStyle w:val="Title"/>
      </w:pPr>
      <w:r>
        <w:t xml:space="preserve">Where to File a Cheque Dishonour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Five possible places in 1999, one in 2014, and a legislative reversal within a year.</w:t>
      </w:r>
    </w:p>
    <w:p>
      <w:pPr>
        <w:pStyle w:val="Guidance"/>
      </w:pPr>
      <w:r>
        <w:t xml:space="preserve">Authorities to start from. These are places to begin, listed by the editors. Read each one in the original and check the citation before you rely on it.</w:t>
      </w:r>
    </w:p>
    <w:p>
      <w:pPr>
        <w:pStyle w:val="Bullet"/>
      </w:pPr>
      <w:r>
        <w:t xml:space="preserve">•  K. Bhaskaran v. Sankaran Vaidhyan Balan, (1999) 7 SCC 510</w:t>
      </w:r>
    </w:p>
    <w:p>
      <w:pPr>
        <w:pStyle w:val="Bullet"/>
      </w:pPr>
      <w:r>
        <w:t xml:space="preserve">•  Dashrath Rupsingh Rathod v. State of Maharashtra, (2014) 9 SCC 129</w:t>
      </w:r>
    </w:p>
    <w:p>
      <w:pPr>
        <w:pStyle w:val="Bullet"/>
      </w:pPr>
      <w:r>
        <w:t xml:space="preserve">•  Negotiable Instruments (Amendment) Act, 2015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https://firstprecedent.org/lineages/cheque-dishonour-jurisdiction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