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LN-0044 · Competition</w:t>
      </w:r>
    </w:p>
    <w:p>
      <w:pPr>
        <w:pStyle w:val="Title"/>
      </w:pPr>
      <w:r>
        <w:t xml:space="preserve">The Commission and the Sector Regulators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Who goes first when a competition complaint arises in a regulated sector: telecom, patents, electricity.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CCI v. SAIL, (2010) 10 SCC 744</w:t>
      </w:r>
    </w:p>
    <w:p>
      <w:pPr>
        <w:pStyle w:val="Bullet"/>
      </w:pPr>
      <w:r>
        <w:t xml:space="preserve">•  CCI v. Bharti Airtel Ltd., (2019) 2 SCC 521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https://firstprecedent.org/lineages/cci-jurisdiction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