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LN-0004 · Constitutional</w:t>
      </w:r>
    </w:p>
    <w:p>
      <w:pPr>
        <w:pStyle w:val="Title"/>
      </w:pPr>
      <w:r>
        <w:t xml:space="preserve">Arbitrariness under Article 14, from Royappa to Shayara Bano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second strand of equality: its birth, the doubt cast on it for legislation, and its return.</w:t>
      </w:r>
    </w:p>
    <w:p>
      <w:pPr>
        <w:pStyle w:val="Guidance"/>
      </w:pPr>
      <w:r>
        <w:t xml:space="preserve">Authorities to start from. These are places to begin, listed by the editors. Read each one in the original and check the citation before you rely on it.</w:t>
      </w:r>
    </w:p>
    <w:p>
      <w:pPr>
        <w:pStyle w:val="Bullet"/>
      </w:pPr>
      <w:r>
        <w:t xml:space="preserve">•  E.P. Royappa v. State of T.N., (1974) 4 SCC 3</w:t>
      </w:r>
    </w:p>
    <w:p>
      <w:pPr>
        <w:pStyle w:val="Bullet"/>
      </w:pPr>
      <w:r>
        <w:t xml:space="preserve">•  State of A.P. v. McDowell &amp; Co., (1996) 3 SCC 709</w:t>
      </w:r>
    </w:p>
    <w:p>
      <w:pPr>
        <w:pStyle w:val="Bullet"/>
      </w:pPr>
      <w:r>
        <w:t xml:space="preserve">•  Shayara Bano v. Union of India, (2017) 9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https://firstprecedent.org/lineages/arbitrariness-under-article-14</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