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LN-0010 · Constitutional</w:t>
      </w:r>
    </w:p>
    <w:p>
      <w:pPr>
        <w:pStyle w:val="Title"/>
      </w:pPr>
      <w:r>
        <w:t xml:space="preserve">The Speaker and the Tenth Schedule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Review of disqualification decisions, from Kihoto Hollohan to the cases on a Speaker facing removal and on delay.</w:t>
      </w:r>
    </w:p>
    <w:p>
      <w:pPr>
        <w:pStyle w:val="Guidance"/>
      </w:pPr>
      <w:r>
        <w:t xml:space="preserve">Authorities to start from. These are places to begin, listed by the editors. Read each one in the original and check the citation before you rely on it.</w:t>
      </w:r>
    </w:p>
    <w:p>
      <w:pPr>
        <w:pStyle w:val="Bullet"/>
      </w:pPr>
      <w:r>
        <w:t xml:space="preserve">•  Kihoto Hollohan v. Zachillhu, 1992 Supp (2) SCC 651</w:t>
      </w:r>
    </w:p>
    <w:p>
      <w:pPr>
        <w:pStyle w:val="Bullet"/>
      </w:pPr>
      <w:r>
        <w:t xml:space="preserve">•  Nabam Rebia v. Deputy Speaker, Arunachal Pradesh Legislative Assembly, (2016) 8 SCC 1</w:t>
      </w:r>
    </w:p>
    <w:p>
      <w:pPr>
        <w:pStyle w:val="Bullet"/>
      </w:pPr>
      <w:r>
        <w:t xml:space="preserve">•  Keisham Meghachandra Singh v. Speaker, Manipur Legislative Assembly, (2021) 16 SCC 503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https://firstprecedent.org/lineages/anti-defection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