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LN-0002 · Constitutional</w:t>
      </w:r>
    </w:p>
    <w:p>
      <w:pPr>
        <w:pStyle w:val="Title"/>
      </w:pPr>
      <w:r>
        <w:t xml:space="preserve">The Amending Power, from Shankari Prasad to Kesavananda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Twenty-two years of contest over whether Parliament can amend fundamental rights, ending in the basic structure limit.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Shankari Prasad Singh Deo v. Union of India, AIR 1951 SC 458</w:t>
      </w:r>
    </w:p>
    <w:p>
      <w:pPr>
        <w:pStyle w:val="Bullet"/>
      </w:pPr>
      <w:r>
        <w:t xml:space="preserve">•  Sajjan Singh v. State of Rajasthan, AIR 1965 SC 845</w:t>
      </w:r>
    </w:p>
    <w:p>
      <w:pPr>
        <w:pStyle w:val="Bullet"/>
      </w:pPr>
      <w:r>
        <w:t xml:space="preserve">•  I.C. Golak Nath v. State of Punjab, AIR 1967 SC 1643</w:t>
      </w:r>
    </w:p>
    <w:p>
      <w:pPr>
        <w:pStyle w:val="Bullet"/>
      </w:pPr>
      <w:r>
        <w:t xml:space="preserve">•  Kesavananda Bharati v. State of Kerala, (1973) 4 SCC 225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https://firstprecedent.org/lineages/amending-power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