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LN-0057 · Media</w:t>
      </w:r>
    </w:p>
    <w:p>
      <w:pPr>
        <w:pStyle w:val="Title"/>
      </w:pPr>
      <w:r>
        <w:t xml:space="preserve">Broadcasting and the Airwaves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a State monopoly to airwaves as public property and a right to receive information.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Secretary, Ministry of Information &amp; Broadcasting v. Cricket Assn. of Bengal, (1995) 2 SCC 161</w:t>
      </w:r>
    </w:p>
    <w:p>
      <w:pPr>
        <w:pStyle w:val="Bullet"/>
      </w:pPr>
      <w:r>
        <w:t xml:space="preserve">•  Prasar Bharati (Broadcasting Corporation of India) Act, 1990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https://firstprecedent.org/lineages/airwaves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