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LN-0025 · Tort</w:t>
      </w:r>
    </w:p>
    <w:p>
      <w:pPr>
        <w:pStyle w:val="Title"/>
      </w:pPr>
      <w:r>
        <w:t xml:space="preserve">Hazardous Enterprise, from Rylands to Oleum Gas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path from strict liability with exceptions to absolute liability without them, and the doubt in the Bhopal settlement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Rylands v. Fletcher, (1868) LR 3 HL 330</w:t>
      </w:r>
    </w:p>
    <w:p>
      <w:pPr>
        <w:pStyle w:val="Bullet"/>
      </w:pPr>
      <w:r>
        <w:t xml:space="preserve">•  M.C. Mehta v. Union of India, (1987) 1 SCC 395</w:t>
      </w:r>
    </w:p>
    <w:p>
      <w:pPr>
        <w:pStyle w:val="Bullet"/>
      </w:pPr>
      <w:r>
        <w:t xml:space="preserve">•  Union Carbide Corpn. v. Union of India, (1991) 4 SCC 584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https://firstprecedent.org/lineages/absolute-liability-lineage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