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LC-0077 · Private International</w:t>
      </w:r>
    </w:p>
    <w:p>
      <w:pPr>
        <w:pStyle w:val="Title"/>
      </w:pPr>
      <w:r>
        <w:t xml:space="preserve">Mediated Settlements from Abroad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signed the Singapore Convention in 2019 but has not ratified it, so a foreign mediated settlement is only a contract 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International Settlement Agreements Resulting from Mediation, Dec. 20, 2018</w:t>
      </w:r>
    </w:p>
    <w:p>
      <w:pPr>
        <w:pStyle w:val="Bullet"/>
      </w:pPr>
      <w:r>
        <w:t xml:space="preserve">•  Mediation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https://firstprecedent.org/lacunae/singapore-convention-unratified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