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LC-0005 · Criminal</w:t>
      </w:r>
    </w:p>
    <w:p>
      <w:pPr>
        <w:pStyle w:val="Title"/>
      </w:pPr>
      <w:r>
        <w:t xml:space="preserve">No Witness Protection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Witness protection rests on a scheme approved by the Supreme Court and declared law under Article 141, not on legislation.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Mahender Chawla v. Union of India, (2019) 14 SCC 615</w:t>
      </w:r>
    </w:p>
    <w:p>
      <w:pPr>
        <w:pStyle w:val="Bullet"/>
      </w:pPr>
      <w:r>
        <w:t xml:space="preserve">•  Zahira Habibulla H. Sheikh v. State of Gujarat, (2004) 4 SCC 158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https://firstprecedent.org/lacunae/no-witness-protection-statute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