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LC-0018 · Family</w:t>
      </w:r>
    </w:p>
    <w:p>
      <w:pPr>
        <w:pStyle w:val="Title"/>
      </w:pPr>
      <w:r>
        <w:t xml:space="preserve">Live-in Relationships outside the Domestic Violence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Partners have protection from violence and little else: no clear rules on property, maintenance after separation or succession.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Sarma v. V.K.V. Sarma, (2013) 15 SCC 755</w:t>
      </w:r>
    </w:p>
    <w:p>
      <w:pPr>
        <w:pStyle w:val="Bullet"/>
      </w:pPr>
      <w:r>
        <w:t xml:space="preserve">•  D. Velusamy v. D. Patchaiammal, (2010) 10 SCC 469</w:t>
      </w:r>
    </w:p>
    <w:p>
      <w:pPr>
        <w:pStyle w:val="Bullet"/>
      </w:pPr>
      <w:r>
        <w:t xml:space="preserve">•  Protection of Women from Domestic Violence Act, 2005, § 2(f)</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https://firstprecedent.org/lacunae/no-uniform-law-on-live-in-relationships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