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LC-0027 · Labour</w:t>
      </w:r>
    </w:p>
    <w:p>
      <w:pPr>
        <w:pStyle w:val="Title"/>
      </w:pPr>
      <w:r>
        <w:t xml:space="preserve">No Remedy for Dismissed Managers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Employees outside the definition of "workman" have only a contract claim for notice pay.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2(s)</w:t>
      </w:r>
    </w:p>
    <w:p>
      <w:pPr>
        <w:pStyle w:val="Bullet"/>
      </w:pPr>
      <w:r>
        <w:t xml:space="preserve">•  S.S. Shetty v. Bharat Nidhi Ltd., AIR 1958 SC 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https://firstprecedent.org/lacunae/no-unfair-dismissal-for-managers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